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2" w:rsidRPr="00D32B11" w:rsidRDefault="007E3BB2" w:rsidP="007E3BB2">
      <w:pPr>
        <w:widowControl/>
        <w:ind w:firstLine="9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D32B11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СОВЕТ ДЕПУТАТОВ</w:t>
      </w:r>
    </w:p>
    <w:p w:rsidR="007E3BB2" w:rsidRPr="00D32B11" w:rsidRDefault="007E3BB2" w:rsidP="007E3BB2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32B1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                                                                                           НОЙКИНСКИЙ СЕЛЬСОВЕТ                                                                  БУГУРУСЛАНСКОГО РАЙОНА ОРЕНБУРГСКОЙ ОБЛАСТИ</w:t>
      </w:r>
    </w:p>
    <w:p w:rsidR="007E3BB2" w:rsidRPr="00D32B11" w:rsidRDefault="007E3BB2" w:rsidP="007E3BB2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(4</w:t>
      </w:r>
      <w:r w:rsidRPr="00D32B1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созыв)</w:t>
      </w:r>
    </w:p>
    <w:p w:rsidR="007E3BB2" w:rsidRPr="00D32B11" w:rsidRDefault="007E3BB2" w:rsidP="007E3BB2">
      <w:pPr>
        <w:widowControl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E3BB2" w:rsidRPr="00D32B11" w:rsidRDefault="007E3BB2" w:rsidP="007E3BB2">
      <w:pPr>
        <w:widowControl/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BB2" w:rsidRPr="00D32B11" w:rsidRDefault="007E3BB2" w:rsidP="007E3BB2">
      <w:pPr>
        <w:widowControl/>
        <w:pBdr>
          <w:bottom w:val="single" w:sz="12" w:space="1" w:color="auto"/>
        </w:pBdr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B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7E3BB2" w:rsidRDefault="007E3BB2" w:rsidP="007E3BB2"/>
    <w:p w:rsidR="007E3BB2" w:rsidRDefault="00423F84" w:rsidP="007E3BB2">
      <w:pPr>
        <w:pStyle w:val="a3"/>
        <w:shd w:val="clear" w:color="auto" w:fill="auto"/>
        <w:tabs>
          <w:tab w:val="left" w:pos="4249"/>
          <w:tab w:val="left" w:pos="7777"/>
        </w:tabs>
        <w:spacing w:before="0" w:after="301" w:line="270" w:lineRule="exact"/>
        <w:ind w:left="20"/>
        <w:rPr>
          <w:rStyle w:val="a6"/>
          <w:b w:val="0"/>
        </w:rPr>
      </w:pPr>
      <w:r w:rsidRPr="00423F84">
        <w:rPr>
          <w:color w:val="000000"/>
        </w:rPr>
        <w:t>28.12.2020</w:t>
      </w:r>
      <w:r>
        <w:rPr>
          <w:color w:val="000000"/>
        </w:rPr>
        <w:tab/>
      </w:r>
      <w:r w:rsidR="007E3BB2">
        <w:rPr>
          <w:color w:val="000000"/>
        </w:rPr>
        <w:tab/>
        <w:t xml:space="preserve">№ </w:t>
      </w:r>
      <w:r w:rsidRPr="00423F84">
        <w:rPr>
          <w:rStyle w:val="a6"/>
          <w:b w:val="0"/>
        </w:rPr>
        <w:t>19</w:t>
      </w:r>
    </w:p>
    <w:p w:rsidR="00423F84" w:rsidRDefault="00423F84" w:rsidP="007E3BB2">
      <w:pPr>
        <w:pStyle w:val="a3"/>
        <w:shd w:val="clear" w:color="auto" w:fill="auto"/>
        <w:tabs>
          <w:tab w:val="left" w:pos="4249"/>
          <w:tab w:val="left" w:pos="7777"/>
        </w:tabs>
        <w:spacing w:before="0" w:after="301" w:line="270" w:lineRule="exact"/>
        <w:ind w:left="20"/>
        <w:rPr>
          <w:rStyle w:val="a6"/>
          <w:b w:val="0"/>
        </w:rPr>
      </w:pPr>
    </w:p>
    <w:p w:rsidR="00423F84" w:rsidRPr="00423F84" w:rsidRDefault="00423F84" w:rsidP="007E3BB2">
      <w:pPr>
        <w:pStyle w:val="a3"/>
        <w:shd w:val="clear" w:color="auto" w:fill="auto"/>
        <w:tabs>
          <w:tab w:val="left" w:pos="4249"/>
          <w:tab w:val="left" w:pos="7777"/>
        </w:tabs>
        <w:spacing w:before="0" w:after="301" w:line="270" w:lineRule="exact"/>
        <w:ind w:left="20"/>
        <w:rPr>
          <w:rStyle w:val="a6"/>
          <w:b w:val="0"/>
        </w:rPr>
      </w:pPr>
    </w:p>
    <w:p w:rsidR="007E3BB2" w:rsidRDefault="007E3BB2" w:rsidP="007E3BB2">
      <w:pPr>
        <w:pStyle w:val="a3"/>
        <w:shd w:val="clear" w:color="auto" w:fill="auto"/>
        <w:spacing w:before="0" w:after="300" w:line="322" w:lineRule="exact"/>
        <w:ind w:left="20"/>
        <w:jc w:val="center"/>
        <w:rPr>
          <w:color w:val="000000"/>
        </w:rPr>
      </w:pPr>
      <w:r>
        <w:rPr>
          <w:color w:val="000000"/>
        </w:rPr>
        <w:t xml:space="preserve">Об утверждении Положения о денежном содержании лиц, замещающих должности </w:t>
      </w:r>
      <w:r w:rsidR="000E35EF">
        <w:rPr>
          <w:color w:val="000000"/>
        </w:rPr>
        <w:t>в муниципальные службы</w:t>
      </w:r>
      <w:r w:rsidR="00C025DB">
        <w:rPr>
          <w:color w:val="000000"/>
        </w:rPr>
        <w:t xml:space="preserve"> в </w:t>
      </w:r>
      <w:r>
        <w:rPr>
          <w:color w:val="000000"/>
        </w:rPr>
        <w:t xml:space="preserve">муниципальном образовании </w:t>
      </w:r>
      <w:proofErr w:type="spellStart"/>
      <w:r>
        <w:rPr>
          <w:color w:val="000000"/>
        </w:rPr>
        <w:t>Нойкинский</w:t>
      </w:r>
      <w:proofErr w:type="spellEnd"/>
      <w:r>
        <w:rPr>
          <w:color w:val="000000"/>
        </w:rPr>
        <w:t xml:space="preserve"> сельсовет Бугурусланского района Оренбургской области</w:t>
      </w:r>
    </w:p>
    <w:p w:rsidR="007E3BB2" w:rsidRDefault="007E3BB2" w:rsidP="007E3BB2">
      <w:pPr>
        <w:pStyle w:val="a3"/>
        <w:shd w:val="clear" w:color="auto" w:fill="auto"/>
        <w:spacing w:before="0" w:after="300" w:line="322" w:lineRule="exact"/>
        <w:ind w:left="20"/>
        <w:jc w:val="center"/>
      </w:pPr>
    </w:p>
    <w:p w:rsidR="00423F84" w:rsidRDefault="00423F84" w:rsidP="007E3BB2">
      <w:pPr>
        <w:pStyle w:val="a3"/>
        <w:shd w:val="clear" w:color="auto" w:fill="auto"/>
        <w:spacing w:before="0" w:after="300" w:line="322" w:lineRule="exact"/>
        <w:ind w:left="20"/>
        <w:jc w:val="center"/>
      </w:pPr>
    </w:p>
    <w:p w:rsidR="007E3BB2" w:rsidRDefault="007E3BB2" w:rsidP="007E3BB2">
      <w:pPr>
        <w:pStyle w:val="a3"/>
        <w:shd w:val="clear" w:color="auto" w:fill="auto"/>
        <w:spacing w:before="0" w:after="0" w:line="322" w:lineRule="exact"/>
        <w:ind w:left="20" w:right="20" w:firstLine="520"/>
        <w:jc w:val="both"/>
      </w:pPr>
      <w:r>
        <w:rPr>
          <w:color w:val="000000"/>
        </w:rPr>
        <w:t xml:space="preserve">На основании статьи 53 Федерального закона от 06.10.2003 </w:t>
      </w:r>
      <w:r>
        <w:rPr>
          <w:color w:val="000000"/>
          <w:lang w:val="en-US"/>
        </w:rPr>
        <w:t>N</w:t>
      </w:r>
      <w:r w:rsidRPr="005A13A6">
        <w:rPr>
          <w:color w:val="000000"/>
        </w:rPr>
        <w:t xml:space="preserve"> </w:t>
      </w:r>
      <w:r>
        <w:rPr>
          <w:color w:val="000000"/>
        </w:rPr>
        <w:t xml:space="preserve">131-Ф3 «Об общих принципах организации местного самоуправления в Российской Федерации», пункта 4 статьи 86 Бюджетного кодекса Российской Федерации, пункта 2 статьи 22 Федерального закона от 02.03.2007 </w:t>
      </w:r>
      <w:r>
        <w:rPr>
          <w:color w:val="000000"/>
          <w:lang w:val="en-US"/>
        </w:rPr>
        <w:t>N</w:t>
      </w:r>
      <w:r w:rsidRPr="005A13A6">
        <w:rPr>
          <w:color w:val="000000"/>
        </w:rPr>
        <w:t xml:space="preserve"> </w:t>
      </w:r>
      <w:r>
        <w:rPr>
          <w:color w:val="000000"/>
        </w:rPr>
        <w:t xml:space="preserve">25-ФЗ «О муниципальной службе в Российской Федерации», пункта 2 статьи 15 Закона Оренбургской области от 10.10.2007 </w:t>
      </w:r>
      <w:r>
        <w:rPr>
          <w:color w:val="000000"/>
          <w:lang w:val="en-US"/>
        </w:rPr>
        <w:t>N</w:t>
      </w:r>
      <w:r w:rsidRPr="005A13A6">
        <w:rPr>
          <w:color w:val="000000"/>
        </w:rPr>
        <w:t xml:space="preserve"> </w:t>
      </w:r>
      <w:r>
        <w:rPr>
          <w:color w:val="000000"/>
        </w:rPr>
        <w:t>161</w:t>
      </w:r>
      <w:r w:rsidRPr="005A13A6">
        <w:rPr>
          <w:color w:val="000000"/>
        </w:rPr>
        <w:t>1/339-</w:t>
      </w:r>
      <w:r>
        <w:rPr>
          <w:color w:val="000000"/>
          <w:lang w:val="en-US"/>
        </w:rPr>
        <w:t>IV</w:t>
      </w:r>
      <w:r w:rsidRPr="005A13A6">
        <w:rPr>
          <w:color w:val="000000"/>
        </w:rPr>
        <w:t xml:space="preserve">-03 </w:t>
      </w:r>
      <w:r>
        <w:rPr>
          <w:color w:val="000000"/>
        </w:rPr>
        <w:t>«О муниципальной службе в Оренбургской области»</w:t>
      </w:r>
      <w:r w:rsidR="000E35EF">
        <w:rPr>
          <w:color w:val="000000"/>
        </w:rPr>
        <w:t>, Устава Нойкинского сельсовета</w:t>
      </w:r>
      <w:r>
        <w:rPr>
          <w:color w:val="000000"/>
        </w:rPr>
        <w:t xml:space="preserve"> Совет депутатов РЕШИЛ:</w:t>
      </w:r>
    </w:p>
    <w:p w:rsidR="007E3BB2" w:rsidRDefault="007E3BB2" w:rsidP="00C025DB">
      <w:pPr>
        <w:pStyle w:val="a3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520"/>
        <w:jc w:val="both"/>
      </w:pPr>
      <w:r>
        <w:rPr>
          <w:color w:val="000000"/>
        </w:rPr>
        <w:t xml:space="preserve">Утвердить </w:t>
      </w:r>
      <w:r w:rsidR="00C025DB" w:rsidRPr="00C025DB">
        <w:rPr>
          <w:color w:val="000000"/>
        </w:rPr>
        <w:t xml:space="preserve">Положения о денежном содержании лиц, замещающих должности </w:t>
      </w:r>
      <w:r w:rsidR="000E35EF" w:rsidRPr="00C025DB">
        <w:rPr>
          <w:color w:val="000000"/>
        </w:rPr>
        <w:t>в муниципальные службы</w:t>
      </w:r>
      <w:r w:rsidR="00C025DB" w:rsidRPr="00C025DB">
        <w:rPr>
          <w:color w:val="000000"/>
        </w:rPr>
        <w:t xml:space="preserve"> в муниципальном образовании </w:t>
      </w:r>
      <w:proofErr w:type="spellStart"/>
      <w:r w:rsidR="00C025DB" w:rsidRPr="00C025DB">
        <w:rPr>
          <w:color w:val="000000"/>
        </w:rPr>
        <w:t>Нойкинский</w:t>
      </w:r>
      <w:proofErr w:type="spellEnd"/>
      <w:r w:rsidR="00C025DB" w:rsidRPr="00C025DB">
        <w:rPr>
          <w:color w:val="000000"/>
        </w:rPr>
        <w:t xml:space="preserve"> сельсовет Бугурусланского района Оренбургской области</w:t>
      </w:r>
      <w:r>
        <w:rPr>
          <w:color w:val="000000"/>
        </w:rPr>
        <w:t>, согласно приложению.</w:t>
      </w:r>
    </w:p>
    <w:p w:rsidR="007E3BB2" w:rsidRPr="001C4737" w:rsidRDefault="007E3BB2" w:rsidP="007E3BB2">
      <w:pPr>
        <w:pStyle w:val="a3"/>
        <w:ind w:left="737"/>
        <w:jc w:val="both"/>
        <w:rPr>
          <w:sz w:val="28"/>
          <w:szCs w:val="28"/>
        </w:rPr>
      </w:pPr>
      <w:r w:rsidRPr="001C4737">
        <w:rPr>
          <w:sz w:val="28"/>
          <w:szCs w:val="28"/>
        </w:rPr>
        <w:t xml:space="preserve">2. Признать утратившим силу решение Совета депутатов от </w:t>
      </w:r>
      <w:r>
        <w:rPr>
          <w:sz w:val="28"/>
          <w:szCs w:val="28"/>
        </w:rPr>
        <w:t>29</w:t>
      </w:r>
      <w:r w:rsidRPr="001C4737">
        <w:rPr>
          <w:sz w:val="28"/>
          <w:szCs w:val="28"/>
        </w:rPr>
        <w:t xml:space="preserve">.12.2012 года № </w:t>
      </w:r>
      <w:r w:rsidR="00C025DB">
        <w:rPr>
          <w:sz w:val="28"/>
          <w:szCs w:val="28"/>
        </w:rPr>
        <w:t>53</w:t>
      </w:r>
      <w:r w:rsidRPr="005F0321">
        <w:t xml:space="preserve"> </w:t>
      </w:r>
      <w:r>
        <w:t>«</w:t>
      </w:r>
      <w:r w:rsidRPr="005F0321">
        <w:rPr>
          <w:sz w:val="28"/>
          <w:szCs w:val="28"/>
        </w:rPr>
        <w:t xml:space="preserve">О денежном содержании лиц, замещающих муниципальные </w:t>
      </w:r>
      <w:r w:rsidRPr="005F0321">
        <w:rPr>
          <w:sz w:val="28"/>
          <w:szCs w:val="28"/>
        </w:rPr>
        <w:lastRenderedPageBreak/>
        <w:t xml:space="preserve">должности в муниципальном образовании </w:t>
      </w:r>
      <w:proofErr w:type="spellStart"/>
      <w:r w:rsidRPr="005F0321">
        <w:rPr>
          <w:sz w:val="28"/>
          <w:szCs w:val="28"/>
        </w:rPr>
        <w:t>Нойкинский</w:t>
      </w:r>
      <w:proofErr w:type="spellEnd"/>
      <w:r w:rsidRPr="005F0321">
        <w:rPr>
          <w:sz w:val="28"/>
          <w:szCs w:val="28"/>
        </w:rPr>
        <w:t xml:space="preserve"> сельсовет Бугурусланского района Оренбургской области</w:t>
      </w:r>
      <w:r>
        <w:rPr>
          <w:sz w:val="28"/>
          <w:szCs w:val="28"/>
        </w:rPr>
        <w:t>», от 29.12.2012 № 55</w:t>
      </w:r>
      <w:r w:rsidRPr="001C4737">
        <w:rPr>
          <w:sz w:val="28"/>
          <w:szCs w:val="28"/>
        </w:rPr>
        <w:t xml:space="preserve"> «Об оплате труда лиц, замещающих муниципальные должности в муниципальном образовании </w:t>
      </w:r>
      <w:proofErr w:type="spellStart"/>
      <w:r>
        <w:rPr>
          <w:sz w:val="28"/>
          <w:szCs w:val="28"/>
        </w:rPr>
        <w:t>Нойкинский</w:t>
      </w:r>
      <w:proofErr w:type="spellEnd"/>
      <w:r w:rsidRPr="001C4737">
        <w:rPr>
          <w:sz w:val="28"/>
          <w:szCs w:val="28"/>
        </w:rPr>
        <w:t xml:space="preserve"> сельсовет Бугурусланского района Оре</w:t>
      </w:r>
      <w:r>
        <w:rPr>
          <w:sz w:val="28"/>
          <w:szCs w:val="28"/>
        </w:rPr>
        <w:t>нбургской области»</w:t>
      </w:r>
      <w:r w:rsidRPr="001C4737">
        <w:rPr>
          <w:sz w:val="28"/>
          <w:szCs w:val="28"/>
        </w:rPr>
        <w:t>.</w:t>
      </w:r>
    </w:p>
    <w:p w:rsidR="007E3BB2" w:rsidRPr="001C4737" w:rsidRDefault="007E3BB2" w:rsidP="007E3BB2">
      <w:pPr>
        <w:pStyle w:val="a3"/>
        <w:spacing w:after="0" w:line="240" w:lineRule="auto"/>
        <w:ind w:left="737"/>
        <w:jc w:val="both"/>
        <w:rPr>
          <w:sz w:val="28"/>
          <w:szCs w:val="28"/>
        </w:rPr>
      </w:pPr>
      <w:r w:rsidRPr="001C4737">
        <w:rPr>
          <w:sz w:val="28"/>
          <w:szCs w:val="28"/>
        </w:rPr>
        <w:t xml:space="preserve">3. Обнародовать настоящее решение на официальном сайте муниципального образования </w:t>
      </w:r>
      <w:proofErr w:type="spellStart"/>
      <w:r w:rsidRPr="00C025DB">
        <w:rPr>
          <w:rStyle w:val="a6"/>
          <w:b w:val="0"/>
          <w:sz w:val="28"/>
          <w:szCs w:val="28"/>
        </w:rPr>
        <w:t>Нойкинский</w:t>
      </w:r>
      <w:proofErr w:type="spellEnd"/>
      <w:r w:rsidRPr="00C025DB">
        <w:rPr>
          <w:rStyle w:val="a6"/>
          <w:b w:val="0"/>
          <w:sz w:val="28"/>
          <w:szCs w:val="28"/>
        </w:rPr>
        <w:t xml:space="preserve"> сельсовет Бугурусланского района Оренбургской области.</w:t>
      </w:r>
      <w:r w:rsidR="008E162B">
        <w:rPr>
          <w:rStyle w:val="a6"/>
          <w:b w:val="0"/>
          <w:sz w:val="28"/>
          <w:szCs w:val="28"/>
        </w:rPr>
        <w:t xml:space="preserve">        </w:t>
      </w:r>
      <w:r w:rsidRPr="00C025DB">
        <w:t xml:space="preserve">                                          </w:t>
      </w:r>
      <w:r w:rsidR="00C025DB">
        <w:t xml:space="preserve">                                                                        </w:t>
      </w:r>
      <w:r w:rsidRPr="00C025DB">
        <w:t xml:space="preserve">   </w:t>
      </w:r>
      <w:r w:rsidRPr="001C4737">
        <w:rPr>
          <w:sz w:val="28"/>
          <w:szCs w:val="28"/>
        </w:rPr>
        <w:t>4. Настоящее решение вступает в силу со дня его обнародования</w:t>
      </w:r>
      <w:r>
        <w:rPr>
          <w:sz w:val="28"/>
          <w:szCs w:val="28"/>
        </w:rPr>
        <w:t>(опубликования)</w:t>
      </w:r>
      <w:r w:rsidRPr="001C4737">
        <w:rPr>
          <w:sz w:val="28"/>
          <w:szCs w:val="28"/>
        </w:rPr>
        <w:t>.</w:t>
      </w:r>
    </w:p>
    <w:p w:rsidR="00C661C5" w:rsidRDefault="00C661C5"/>
    <w:p w:rsidR="00C025DB" w:rsidRDefault="00C025DB"/>
    <w:p w:rsidR="00C025DB" w:rsidRPr="00C025DB" w:rsidRDefault="00C025DB">
      <w:pPr>
        <w:rPr>
          <w:rFonts w:ascii="Times New Roman" w:hAnsi="Times New Roman" w:cs="Times New Roman"/>
          <w:sz w:val="28"/>
          <w:szCs w:val="28"/>
        </w:rPr>
      </w:pPr>
    </w:p>
    <w:p w:rsidR="00C025DB" w:rsidRPr="00C025DB" w:rsidRDefault="00C025DB">
      <w:pPr>
        <w:rPr>
          <w:rFonts w:ascii="Times New Roman" w:hAnsi="Times New Roman" w:cs="Times New Roman"/>
          <w:sz w:val="28"/>
          <w:szCs w:val="28"/>
        </w:rPr>
      </w:pPr>
      <w:r w:rsidRPr="00C025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25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025DB">
        <w:rPr>
          <w:rFonts w:ascii="Times New Roman" w:hAnsi="Times New Roman" w:cs="Times New Roman"/>
          <w:sz w:val="28"/>
          <w:szCs w:val="28"/>
        </w:rPr>
        <w:t>Ю.Л.Кулаев</w:t>
      </w:r>
      <w:proofErr w:type="spellEnd"/>
    </w:p>
    <w:p w:rsidR="00C025DB" w:rsidRDefault="00C025DB"/>
    <w:p w:rsidR="00C025DB" w:rsidRDefault="00C025DB" w:rsidP="00C025DB">
      <w:pPr>
        <w:keepNext/>
        <w:keepLines/>
        <w:spacing w:after="642" w:line="310" w:lineRule="exact"/>
        <w:ind w:right="40"/>
        <w:jc w:val="right"/>
        <w:outlineLvl w:val="0"/>
      </w:pPr>
      <w:r>
        <w:t xml:space="preserve"> </w:t>
      </w:r>
    </w:p>
    <w:p w:rsidR="00423F84" w:rsidRDefault="00423F84" w:rsidP="00C025DB">
      <w:pPr>
        <w:keepNext/>
        <w:keepLines/>
        <w:spacing w:after="642" w:line="310" w:lineRule="exact"/>
        <w:ind w:right="40"/>
        <w:jc w:val="right"/>
        <w:outlineLvl w:val="0"/>
      </w:pPr>
    </w:p>
    <w:p w:rsidR="00423F84" w:rsidRPr="00C025DB" w:rsidRDefault="00423F84" w:rsidP="00C025DB">
      <w:pPr>
        <w:keepNext/>
        <w:keepLines/>
        <w:spacing w:after="642" w:line="310" w:lineRule="exact"/>
        <w:ind w:right="40"/>
        <w:jc w:val="right"/>
        <w:outlineLvl w:val="0"/>
        <w:rPr>
          <w:rFonts w:ascii="Times New Roman" w:hAnsi="Times New Roman" w:cs="Times New Roman"/>
          <w:b/>
          <w:bCs/>
          <w:color w:val="auto"/>
          <w:sz w:val="31"/>
          <w:szCs w:val="31"/>
          <w:lang w:eastAsia="en-US"/>
        </w:rPr>
      </w:pPr>
    </w:p>
    <w:p w:rsidR="00C025DB" w:rsidRPr="00C025DB" w:rsidRDefault="00C025DB" w:rsidP="00C025DB">
      <w:pPr>
        <w:spacing w:line="260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Положение</w:t>
      </w:r>
    </w:p>
    <w:p w:rsidR="00C025DB" w:rsidRPr="00C025DB" w:rsidRDefault="00C025DB" w:rsidP="00C025DB">
      <w:pPr>
        <w:spacing w:after="600" w:line="322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 денежном содержании лиц, замещающих должности муниципальной службы в органах местного самоуправления муниципаль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Нойкинский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сельсовет</w:t>
      </w: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(далее по тексту - положение)</w:t>
      </w:r>
    </w:p>
    <w:p w:rsidR="00C025DB" w:rsidRPr="00C025DB" w:rsidRDefault="00C025DB" w:rsidP="00C025DB">
      <w:pPr>
        <w:spacing w:after="349" w:line="322" w:lineRule="exact"/>
        <w:ind w:left="20" w:right="40" w:firstLine="5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пункта 4 статьи 86 Бюджетного кодекса Российской Федерации, пункта 2 статьи 53 Федерального закона от 06.10.2003 </w:t>
      </w: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N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025DB">
        <w:rPr>
          <w:rFonts w:ascii="Times New Roman" w:hAnsi="Times New Roman" w:cs="Times New Roman"/>
          <w:sz w:val="26"/>
          <w:szCs w:val="26"/>
        </w:rPr>
        <w:t xml:space="preserve">131-ФЭ «Об общих принципах организации местного самоуправления в Российской Федерации», пункта 2 статьи 22 Федерального закона от 02.03.2007 </w:t>
      </w: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N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025DB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пункта 2 статьи 15 Закона Оренбургской области от 10.10.2007 </w:t>
      </w: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N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025DB">
        <w:rPr>
          <w:rFonts w:ascii="Times New Roman" w:hAnsi="Times New Roman" w:cs="Times New Roman"/>
          <w:sz w:val="26"/>
          <w:szCs w:val="26"/>
        </w:rPr>
        <w:t>1611/33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>9-</w:t>
      </w: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-03 </w:t>
      </w:r>
      <w:r w:rsidRPr="00C025DB">
        <w:rPr>
          <w:rFonts w:ascii="Times New Roman" w:hAnsi="Times New Roman" w:cs="Times New Roman"/>
          <w:sz w:val="26"/>
          <w:szCs w:val="26"/>
        </w:rPr>
        <w:t xml:space="preserve">«О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муниципальной службе в Оренбургской области» и определяет размеры и условия оплаты труда лиц, о денежном содержании лиц, замещающих должности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Нойкинский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C025DB" w:rsidRPr="00C025DB" w:rsidRDefault="00C025DB" w:rsidP="00C025DB">
      <w:pPr>
        <w:numPr>
          <w:ilvl w:val="0"/>
          <w:numId w:val="2"/>
        </w:numPr>
        <w:tabs>
          <w:tab w:val="left" w:pos="294"/>
        </w:tabs>
        <w:spacing w:after="238" w:line="260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Состав денежного содержания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086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Денежное содержание лиц, замещающих должности муниципальной службы в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Нойкинский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служащие), состоит из должностного оклада в соответствии с замещаемой должностью, а также из ежемесячных и дополнительных выплат, к которым относятся: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970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работы;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887"/>
        </w:tabs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874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887"/>
        </w:tabs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ежемесячное денежное поощрение;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1206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878"/>
        </w:tabs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материальная помощь;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878"/>
        </w:tabs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заданий;</w:t>
      </w:r>
    </w:p>
    <w:p w:rsidR="00C025DB" w:rsidRPr="00C025DB" w:rsidRDefault="00C025DB" w:rsidP="00C025DB">
      <w:pPr>
        <w:numPr>
          <w:ilvl w:val="0"/>
          <w:numId w:val="3"/>
        </w:numPr>
        <w:tabs>
          <w:tab w:val="left" w:pos="1004"/>
        </w:tabs>
        <w:spacing w:line="31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классный чин, определяемая в соответствии с порядком, утвержденным законодательством Оренбургской области.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042"/>
        </w:tabs>
        <w:spacing w:line="31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К денежному содержанию муниципальных служащих устанавливается районный коэффициент в размере, определенном федеральным</w:t>
      </w:r>
    </w:p>
    <w:p w:rsidR="00C025DB" w:rsidRPr="00C025DB" w:rsidRDefault="00C025DB" w:rsidP="00C025DB">
      <w:pPr>
        <w:spacing w:line="322" w:lineRule="exact"/>
        <w:ind w:left="40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54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Выплата установленных ежемесячных и единовременных выплат, материальной помощи и премий муниципальным служащим осуществляется в соответствии с настоящим положением и принимаемыми в соответствии с ним правовыми актами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Нойкинский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025DB">
        <w:rPr>
          <w:rFonts w:ascii="Times New Roman" w:hAnsi="Times New Roman" w:cs="Times New Roman"/>
          <w:sz w:val="26"/>
          <w:szCs w:val="26"/>
        </w:rPr>
        <w:t>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34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Увеличение (индексация) размеров должностных окладов, а также порядок увеличения (индексации) должностных окладов устанавливается нормативно правовы</w:t>
      </w:r>
      <w:r w:rsidR="00713EE8">
        <w:rPr>
          <w:rFonts w:ascii="Times New Roman" w:hAnsi="Times New Roman" w:cs="Times New Roman"/>
          <w:sz w:val="26"/>
          <w:szCs w:val="26"/>
        </w:rPr>
        <w:t>ми актами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законодательством Оренбургской области.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058"/>
        </w:tabs>
        <w:spacing w:after="289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Муниципальным служащим могут устанавливаться иные ежемесячные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выплаты, выплачиваемые при наличии соответствующих оснований, определенных трудовым законодательством Российской Федерации.</w:t>
      </w:r>
    </w:p>
    <w:p w:rsidR="00C025DB" w:rsidRPr="00C025DB" w:rsidRDefault="00C025DB" w:rsidP="00C025DB">
      <w:pPr>
        <w:keepNext/>
        <w:keepLines/>
        <w:numPr>
          <w:ilvl w:val="0"/>
          <w:numId w:val="2"/>
        </w:numPr>
        <w:tabs>
          <w:tab w:val="left" w:pos="294"/>
        </w:tabs>
        <w:spacing w:after="233" w:line="260" w:lineRule="exact"/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" w:name="bookmark1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Должностные оклады</w:t>
      </w:r>
      <w:bookmarkEnd w:id="1"/>
    </w:p>
    <w:p w:rsidR="00C025DB" w:rsidRPr="00713EE8" w:rsidRDefault="00C025DB" w:rsidP="00C025DB">
      <w:pPr>
        <w:numPr>
          <w:ilvl w:val="1"/>
          <w:numId w:val="2"/>
        </w:numPr>
        <w:tabs>
          <w:tab w:val="left" w:pos="1350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Размеры должностных окладов муниципальным служащим устанавливаются решением Совета депутатов</w:t>
      </w:r>
      <w:r w:rsidR="00713EE8">
        <w:rPr>
          <w:rFonts w:ascii="Times New Roman" w:hAnsi="Times New Roman" w:cs="Times New Roman"/>
          <w:sz w:val="26"/>
          <w:szCs w:val="26"/>
        </w:rPr>
        <w:t xml:space="preserve">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Бугурусланского района Оренбургской области согласно приложению № 1 к настоящему положению.</w:t>
      </w:r>
    </w:p>
    <w:p w:rsidR="00713EE8" w:rsidRPr="00C025DB" w:rsidRDefault="00713EE8" w:rsidP="00713EE8">
      <w:pPr>
        <w:tabs>
          <w:tab w:val="left" w:pos="1350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025DB" w:rsidRPr="00C025DB" w:rsidRDefault="00C025DB" w:rsidP="00C025DB">
      <w:pPr>
        <w:keepNext/>
        <w:keepLines/>
        <w:numPr>
          <w:ilvl w:val="0"/>
          <w:numId w:val="2"/>
        </w:numPr>
        <w:tabs>
          <w:tab w:val="left" w:pos="1888"/>
        </w:tabs>
        <w:spacing w:after="247" w:line="260" w:lineRule="exact"/>
        <w:ind w:right="1580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bookmark2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Ежемесячная надбавка к должностному окладу за особые условия работы</w:t>
      </w:r>
      <w:bookmarkEnd w:id="2"/>
    </w:p>
    <w:p w:rsidR="00C025DB" w:rsidRPr="00C025DB" w:rsidRDefault="00C025DB" w:rsidP="00C025DB">
      <w:pPr>
        <w:numPr>
          <w:ilvl w:val="1"/>
          <w:numId w:val="2"/>
        </w:numPr>
        <w:tabs>
          <w:tab w:val="left" w:pos="1082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к должностному окладу за особые условия работы является составляющей денежного содержания муниципальных служащих и подлежит обязательной выплате.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062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выплачивается в целях материального стимулирования труда муниципальных служащих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 в размере не более 180% к должностному окладу.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090"/>
        </w:tabs>
        <w:spacing w:line="317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Основными критериями для выплаты надбавки являются:</w:t>
      </w:r>
    </w:p>
    <w:p w:rsidR="00C025DB" w:rsidRPr="00C025DB" w:rsidRDefault="00C025DB" w:rsidP="00C025DB">
      <w:pPr>
        <w:numPr>
          <w:ilvl w:val="0"/>
          <w:numId w:val="4"/>
        </w:numPr>
        <w:tabs>
          <w:tab w:val="left" w:pos="798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исполнение должностных обязанностей в условиях, отличающихся от нормальных;</w:t>
      </w:r>
    </w:p>
    <w:p w:rsidR="00C025DB" w:rsidRPr="00C025DB" w:rsidRDefault="00C025DB" w:rsidP="00C025DB">
      <w:pPr>
        <w:numPr>
          <w:ilvl w:val="0"/>
          <w:numId w:val="4"/>
        </w:numPr>
        <w:tabs>
          <w:tab w:val="left" w:pos="746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привлечение муниципальных служащих к выполнению непредвиденных, особо важных и ответственных работ;</w:t>
      </w:r>
    </w:p>
    <w:p w:rsidR="00C025DB" w:rsidRPr="00C025DB" w:rsidRDefault="00C025DB" w:rsidP="00C025DB">
      <w:pPr>
        <w:numPr>
          <w:ilvl w:val="0"/>
          <w:numId w:val="4"/>
        </w:numPr>
        <w:tabs>
          <w:tab w:val="left" w:pos="763"/>
        </w:tabs>
        <w:spacing w:line="317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компетентность в принятии управленческих решений.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4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выплачивается муниципальных служащих на основании правового акта администрации района (приказа руководителя самостоятельного структурного подразделения органа местного самоуправления).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25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ежемесячной надбавки может быть снижен или выплата ее прекращена при несоответствии условий труда муниципального служащего вышеуказанным критериям.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87"/>
        </w:tabs>
        <w:spacing w:after="289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выплачивается одновременно с заработной платой за истекший период и включается в средний заработок при исчислении ежегодных отпусков и в других случаях, предусмотренных законодательством Российской Федерации.</w:t>
      </w:r>
    </w:p>
    <w:p w:rsidR="00C025DB" w:rsidRPr="00C025DB" w:rsidRDefault="00C025DB" w:rsidP="00C025DB">
      <w:pPr>
        <w:keepNext/>
        <w:keepLines/>
        <w:numPr>
          <w:ilvl w:val="0"/>
          <w:numId w:val="2"/>
        </w:numPr>
        <w:tabs>
          <w:tab w:val="left" w:pos="998"/>
        </w:tabs>
        <w:spacing w:after="247" w:line="260" w:lineRule="exact"/>
        <w:jc w:val="both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bookmark3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Ежемесячная надбавка к должностному окладу за выслугу лет</w:t>
      </w:r>
      <w:bookmarkEnd w:id="3"/>
    </w:p>
    <w:p w:rsidR="00C025DB" w:rsidRPr="00C025DB" w:rsidRDefault="00C025DB" w:rsidP="00C025DB">
      <w:pPr>
        <w:numPr>
          <w:ilvl w:val="1"/>
          <w:numId w:val="2"/>
        </w:numPr>
        <w:tabs>
          <w:tab w:val="left" w:pos="1086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ежемесячной надбавки к должностному окладу за выслугу лет устанавливается муниципальным служащим в зависимости от общего стажа работы, исчисленного в соответствии с Законом Оренбургской области от</w:t>
      </w:r>
    </w:p>
    <w:p w:rsidR="00C025DB" w:rsidRPr="00C025DB" w:rsidRDefault="00C025DB" w:rsidP="00C025DB">
      <w:pPr>
        <w:numPr>
          <w:ilvl w:val="0"/>
          <w:numId w:val="5"/>
        </w:numPr>
        <w:tabs>
          <w:tab w:val="left" w:pos="1634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N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025DB">
        <w:rPr>
          <w:rFonts w:ascii="Times New Roman" w:hAnsi="Times New Roman" w:cs="Times New Roman"/>
          <w:sz w:val="26"/>
          <w:szCs w:val="26"/>
        </w:rPr>
        <w:t>660/185-03 «О стаже государственной гражданской (муниципальной) службы Оренбургской области».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317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Выплата ежемесячных надбавок за выслугу лет муниципальным служащим производится в зависимости от общего стажа, дающего право на получение этой надбавки, в следующих размерах:</w:t>
      </w:r>
    </w:p>
    <w:p w:rsidR="00C025DB" w:rsidRPr="00C025DB" w:rsidRDefault="00C025DB" w:rsidP="00C025DB">
      <w:pPr>
        <w:tabs>
          <w:tab w:val="left" w:pos="3538"/>
        </w:tabs>
        <w:spacing w:line="317" w:lineRule="exact"/>
        <w:ind w:left="720" w:right="52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при стаже работы от 1 года до 5 лет - 10% от 5 лет до 10 лет -15% от 10 лет до 15 лет - 20% свыше 15 лет</w:t>
      </w:r>
      <w:r w:rsidRPr="00C025DB">
        <w:rPr>
          <w:rFonts w:ascii="Times New Roman" w:hAnsi="Times New Roman" w:cs="Times New Roman"/>
          <w:sz w:val="26"/>
          <w:szCs w:val="26"/>
        </w:rPr>
        <w:tab/>
        <w:t>- 30%</w:t>
      </w:r>
    </w:p>
    <w:p w:rsidR="00C025DB" w:rsidRPr="00C025DB" w:rsidRDefault="00C025DB" w:rsidP="00C025DB">
      <w:pPr>
        <w:tabs>
          <w:tab w:val="left" w:pos="3533"/>
        </w:tabs>
        <w:spacing w:line="317" w:lineRule="exact"/>
        <w:ind w:left="40"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свыше 15 лет</w:t>
      </w:r>
      <w:r w:rsidRPr="00C025DB">
        <w:rPr>
          <w:rFonts w:ascii="Times New Roman" w:hAnsi="Times New Roman" w:cs="Times New Roman"/>
          <w:sz w:val="26"/>
          <w:szCs w:val="26"/>
        </w:rPr>
        <w:tab/>
        <w:t>- 40% лицам, стаж которых на 01.07.2006 г.</w:t>
      </w:r>
    </w:p>
    <w:p w:rsidR="00C025DB" w:rsidRPr="00C025DB" w:rsidRDefault="00C025DB" w:rsidP="00C025DB">
      <w:pPr>
        <w:spacing w:line="317" w:lineRule="exact"/>
        <w:ind w:lef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составил 15 лет и более лет.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35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ежемесячной надбавки к должностному окладу за выслугу лет устанавливается муниципальным служащим в зависимости от общего стажа работы, исчисленного в соответствии с Законом Оренбургской области от</w:t>
      </w:r>
    </w:p>
    <w:p w:rsidR="00C025DB" w:rsidRPr="00C025DB" w:rsidRDefault="00C025DB" w:rsidP="00C025DB">
      <w:pPr>
        <w:numPr>
          <w:ilvl w:val="0"/>
          <w:numId w:val="6"/>
        </w:numPr>
        <w:tabs>
          <w:tab w:val="left" w:pos="1638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№ 660/185-03 "О стаже государственной гражданской (муниципальной) службы Оренбургской области".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30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5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надбавка за выслугу лет учитывается во всех случаях исчисления среднего заработка.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307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C025DB" w:rsidRPr="00C025DB" w:rsidRDefault="00C025DB" w:rsidP="00C025DB">
      <w:pPr>
        <w:spacing w:line="317" w:lineRule="exact"/>
        <w:ind w:left="40" w:right="40"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C025DB" w:rsidRPr="00C025DB" w:rsidRDefault="00C025DB" w:rsidP="00C025DB">
      <w:pPr>
        <w:spacing w:line="317" w:lineRule="exact"/>
        <w:ind w:left="40" w:right="40"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В случае, если у работника право на назначение или изменение размера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слушателем сохраняется средняя заработная плата, и в других аналогичных случаях, при которых за работником сохраняется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средний заработок, ему устанавливается указанная надбавка с момента наступления права и производится соответствующий перерасчет среднего заработка.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98"/>
        </w:tabs>
        <w:spacing w:line="326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Назначение надбавки производится на основании правового акта адми</w:t>
      </w:r>
      <w:r w:rsidR="000E35EF">
        <w:rPr>
          <w:rFonts w:ascii="Times New Roman" w:hAnsi="Times New Roman" w:cs="Times New Roman"/>
          <w:sz w:val="26"/>
          <w:szCs w:val="26"/>
        </w:rPr>
        <w:t>нистрации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(приказа руководителя самостоятельного структурного подразделения органа местного самоуправления), принятого по представлению расчета стажа, дающего право на получение ежемесячной надбавки за выслугу лет, выполненного лицом, ответственным за ведение кадровой работы.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302"/>
        </w:tabs>
        <w:spacing w:line="326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При увольнении работника надбавка за выслугу лет начисляется пропорционально отработанному времени, и её выплата производится при окончательном расчёте.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350"/>
        </w:tabs>
        <w:spacing w:line="326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Основным документом для определения общего стажа работы, дающего право на получение ежемесячных надбавок за выслугу лет, является трудовая книжка.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422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Стаж работы для выплаты ежемесячной надбавки за выслугу лет устанавливается на основании выписки из трудовой книжки, подготовленной лицом, ответственным за ведение кадровой работы в админ</w:t>
      </w:r>
      <w:r w:rsidR="000E35EF">
        <w:rPr>
          <w:rFonts w:ascii="Times New Roman" w:hAnsi="Times New Roman" w:cs="Times New Roman"/>
          <w:sz w:val="26"/>
          <w:szCs w:val="26"/>
        </w:rPr>
        <w:t xml:space="preserve">истрации Нойкинского </w:t>
      </w:r>
      <w:proofErr w:type="gramStart"/>
      <w:r w:rsidR="000E35EF">
        <w:rPr>
          <w:rFonts w:ascii="Times New Roman" w:hAnsi="Times New Roman" w:cs="Times New Roman"/>
          <w:sz w:val="26"/>
          <w:szCs w:val="26"/>
        </w:rPr>
        <w:t>сельсовета</w:t>
      </w:r>
      <w:r w:rsidRPr="00C025D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025DB">
        <w:rPr>
          <w:rFonts w:ascii="Times New Roman" w:hAnsi="Times New Roman" w:cs="Times New Roman"/>
          <w:sz w:val="26"/>
          <w:szCs w:val="26"/>
        </w:rPr>
        <w:t>структурном подразделении органа местного самоуправления).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744"/>
        </w:tabs>
        <w:spacing w:after="296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Ответственность за своевременный пересмотр стажа муниципального служащего для установления надбавки за выслугу лет возлагается на кадровую службу адми</w:t>
      </w:r>
      <w:r w:rsidR="000E35EF">
        <w:rPr>
          <w:rFonts w:ascii="Times New Roman" w:hAnsi="Times New Roman" w:cs="Times New Roman"/>
          <w:sz w:val="26"/>
          <w:szCs w:val="26"/>
        </w:rPr>
        <w:t>нистрации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(кадровую службу структурного подразделения органа местного самоуправления).</w:t>
      </w:r>
    </w:p>
    <w:p w:rsidR="00C025DB" w:rsidRPr="00C025DB" w:rsidRDefault="00C025DB" w:rsidP="00C025DB">
      <w:pPr>
        <w:keepNext/>
        <w:keepLines/>
        <w:numPr>
          <w:ilvl w:val="0"/>
          <w:numId w:val="2"/>
        </w:numPr>
        <w:tabs>
          <w:tab w:val="left" w:pos="1023"/>
        </w:tabs>
        <w:spacing w:after="304" w:line="326" w:lineRule="exact"/>
        <w:ind w:right="760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bookmark4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Ежемесячной процентной надбавки за работу со сведениями, составляющими государственную тайну</w:t>
      </w:r>
      <w:bookmarkEnd w:id="4"/>
    </w:p>
    <w:p w:rsidR="00C025DB" w:rsidRPr="00C025DB" w:rsidRDefault="00C025DB" w:rsidP="00C025DB">
      <w:pPr>
        <w:numPr>
          <w:ilvl w:val="1"/>
          <w:numId w:val="2"/>
        </w:numPr>
        <w:tabs>
          <w:tab w:val="left" w:pos="1398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Процентная надбавка к должностному окладу за работу со сведениями, составляющими государственную тайну, выплачивается муниципальным служащим в размере, в случаях и порядке, определяемых законодательством Российской Федерации, Оренбургской области.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432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муниципального служащего, допущенных к государственной тайне на постоянной основе, выплачивается в зависимости от степени секретности сведений, к которым эти лица имеют документально подтверждаемый доступ на законных основаниях.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30"/>
        </w:tabs>
        <w:spacing w:after="349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ежемесячной процентной надбавки к должностному окладу за работу со сведениями, имеющими степень секретности, устанавливается в соответствии с правовым актом адми</w:t>
      </w:r>
      <w:r w:rsidR="000E35EF">
        <w:rPr>
          <w:rFonts w:ascii="Times New Roman" w:hAnsi="Times New Roman" w:cs="Times New Roman"/>
          <w:sz w:val="26"/>
          <w:szCs w:val="26"/>
        </w:rPr>
        <w:t>нистрации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(приказом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руководителя структурного подразделения органа местного самоуправления).</w:t>
      </w:r>
    </w:p>
    <w:p w:rsidR="00C025DB" w:rsidRPr="00C025DB" w:rsidRDefault="00C025DB" w:rsidP="00C025DB">
      <w:pPr>
        <w:keepNext/>
        <w:keepLines/>
        <w:numPr>
          <w:ilvl w:val="0"/>
          <w:numId w:val="2"/>
        </w:numPr>
        <w:tabs>
          <w:tab w:val="left" w:pos="283"/>
        </w:tabs>
        <w:spacing w:after="177" w:line="260" w:lineRule="exact"/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5" w:name="bookmark5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Ежемесячное денежное поощрение</w:t>
      </w:r>
      <w:bookmarkEnd w:id="5"/>
    </w:p>
    <w:p w:rsidR="00C025DB" w:rsidRPr="00C025DB" w:rsidRDefault="00C025DB" w:rsidP="00C025DB">
      <w:pPr>
        <w:numPr>
          <w:ilvl w:val="1"/>
          <w:numId w:val="2"/>
        </w:numPr>
        <w:tabs>
          <w:tab w:val="left" w:pos="1278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Ежемесячное денежное поощрение устанавливается в целях обеспечения социальных гарантий муниципальных служащих, а также усиления их материальной заинтересованности в повышении качества выполнения задач, возложенных на органы местного самоуправления, повышения уровня ответственности за порученный участок работы.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68"/>
        </w:tabs>
        <w:spacing w:line="336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устанавливается как коэффициент в размере до 1,2 к должностному окладу.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20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Коэффициент ежемесячного денежного поощрения устанавливается правовым актом админист</w:t>
      </w:r>
      <w:r w:rsidR="000E35EF">
        <w:rPr>
          <w:rFonts w:ascii="Times New Roman" w:hAnsi="Times New Roman" w:cs="Times New Roman"/>
          <w:sz w:val="26"/>
          <w:szCs w:val="26"/>
        </w:rPr>
        <w:t>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(приказом руководителя структурного подразделения органа местного самоуправления).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240"/>
        </w:tabs>
        <w:spacing w:line="331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 ежемесячно одновременно с выплатой заработной платы.</w:t>
      </w:r>
    </w:p>
    <w:p w:rsidR="00C025DB" w:rsidRPr="00C025DB" w:rsidRDefault="00C025DB" w:rsidP="00C025DB">
      <w:pPr>
        <w:numPr>
          <w:ilvl w:val="1"/>
          <w:numId w:val="2"/>
        </w:numPr>
        <w:tabs>
          <w:tab w:val="left" w:pos="1120"/>
        </w:tabs>
        <w:spacing w:after="240" w:line="326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Выплата ежемесячного поощрения производится в пределах фонда оплаты труда на соответствующий финансовый год.</w:t>
      </w:r>
    </w:p>
    <w:p w:rsidR="00C025DB" w:rsidRPr="00C025DB" w:rsidRDefault="00C025DB" w:rsidP="00C025DB">
      <w:pPr>
        <w:keepNext/>
        <w:keepLines/>
        <w:spacing w:after="244" w:line="326" w:lineRule="exact"/>
        <w:ind w:left="3260" w:right="600" w:hanging="2020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6" w:name="bookmark6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7. Единовременная выплата при предоставлении ежегодного оплачиваемого отпуска</w:t>
      </w:r>
      <w:bookmarkEnd w:id="6"/>
    </w:p>
    <w:p w:rsidR="00C025DB" w:rsidRPr="00C025DB" w:rsidRDefault="00C025DB" w:rsidP="00C025DB">
      <w:pPr>
        <w:numPr>
          <w:ilvl w:val="0"/>
          <w:numId w:val="7"/>
        </w:numPr>
        <w:tabs>
          <w:tab w:val="left" w:pos="1360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муниципальным служащим устанавливается в размере двух должностных окладов и выплачивается один раз в календарный год при уходе муниципальных служащих в очередной оплачиваемый отпуск, а в случае разделения отпуска к одной из частей ежегодного оплачиваемого отпуска.</w:t>
      </w:r>
    </w:p>
    <w:p w:rsidR="00C025DB" w:rsidRPr="00C025DB" w:rsidRDefault="00C025DB" w:rsidP="00C025DB">
      <w:pPr>
        <w:numPr>
          <w:ilvl w:val="0"/>
          <w:numId w:val="7"/>
        </w:numPr>
        <w:tabs>
          <w:tab w:val="left" w:pos="1115"/>
        </w:tabs>
        <w:spacing w:after="289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Основанием для предоставления единовременной выплаты является правовой акт адми</w:t>
      </w:r>
      <w:r w:rsidR="000E35EF">
        <w:rPr>
          <w:rFonts w:ascii="Times New Roman" w:hAnsi="Times New Roman" w:cs="Times New Roman"/>
          <w:sz w:val="26"/>
          <w:szCs w:val="26"/>
        </w:rPr>
        <w:t>нистрации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(приказ руководителя структурного подразделения органа местного самоуправления) о предоставлении ежегодного оплачиваемого отпуска.</w:t>
      </w:r>
    </w:p>
    <w:p w:rsidR="00C025DB" w:rsidRPr="00C025DB" w:rsidRDefault="00C025DB" w:rsidP="00C025DB">
      <w:pPr>
        <w:keepNext/>
        <w:keepLines/>
        <w:spacing w:after="243" w:line="260" w:lineRule="exact"/>
        <w:ind w:left="3440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7" w:name="bookmark7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8. Материальная помощь</w:t>
      </w:r>
      <w:bookmarkEnd w:id="7"/>
    </w:p>
    <w:p w:rsidR="00C025DB" w:rsidRPr="00C025DB" w:rsidRDefault="00C025DB" w:rsidP="00C025DB">
      <w:pPr>
        <w:numPr>
          <w:ilvl w:val="0"/>
          <w:numId w:val="8"/>
        </w:numPr>
        <w:tabs>
          <w:tab w:val="left" w:pos="1096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Материальная помощь муниципальным служащим выплачивается на основании правового акта администрации Бугурусланского района (приказа руководителя структурного подразделения органа местного самоуправления) в размере не более одного должностного оклада в год в связи с личным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бракосочетанием, рождением ребенка, юбилейными датами (50 лет, в 55 лет для женщин и в 60 лет для мужчин, 65 лет или в связи с досрочным выходом на пенсию), смертью близких родственников (родители и дети сотрудника, супруга или супруги), болезнью, в случае смерти работника в период его трудовых отношений с муниципальным о</w:t>
      </w:r>
      <w:r w:rsidR="000E35EF">
        <w:rPr>
          <w:rFonts w:ascii="Times New Roman" w:hAnsi="Times New Roman" w:cs="Times New Roman"/>
          <w:sz w:val="26"/>
          <w:szCs w:val="26"/>
        </w:rPr>
        <w:t xml:space="preserve">бразованием </w:t>
      </w:r>
      <w:proofErr w:type="spellStart"/>
      <w:r w:rsidR="000E35EF">
        <w:rPr>
          <w:rFonts w:ascii="Times New Roman" w:hAnsi="Times New Roman" w:cs="Times New Roman"/>
          <w:sz w:val="26"/>
          <w:szCs w:val="26"/>
        </w:rPr>
        <w:t>Нойкинский</w:t>
      </w:r>
      <w:proofErr w:type="spellEnd"/>
      <w:r w:rsidR="000E35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025DB">
        <w:rPr>
          <w:rFonts w:ascii="Times New Roman" w:hAnsi="Times New Roman" w:cs="Times New Roman"/>
          <w:sz w:val="26"/>
          <w:szCs w:val="26"/>
        </w:rPr>
        <w:t>, а также в случаях, связанных с причинением материального ущерба.</w:t>
      </w:r>
    </w:p>
    <w:p w:rsidR="00C025DB" w:rsidRPr="00C025DB" w:rsidRDefault="00C025DB" w:rsidP="00C025DB">
      <w:pPr>
        <w:numPr>
          <w:ilvl w:val="0"/>
          <w:numId w:val="8"/>
        </w:numPr>
        <w:tabs>
          <w:tab w:val="left" w:pos="1283"/>
        </w:tabs>
        <w:spacing w:after="289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представленных документов, подтверждающих факт наступления событий, перечисленных в первом абзаце настоящего пункта.</w:t>
      </w:r>
    </w:p>
    <w:p w:rsidR="00C025DB" w:rsidRPr="00C025DB" w:rsidRDefault="00C025DB" w:rsidP="00C025DB">
      <w:pPr>
        <w:keepNext/>
        <w:keepLines/>
        <w:numPr>
          <w:ilvl w:val="0"/>
          <w:numId w:val="9"/>
        </w:numPr>
        <w:tabs>
          <w:tab w:val="left" w:pos="278"/>
        </w:tabs>
        <w:spacing w:after="260" w:line="260" w:lineRule="exact"/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8" w:name="bookmark8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Премии за выполнение особо важных и сложных заданий</w:t>
      </w:r>
      <w:bookmarkEnd w:id="8"/>
    </w:p>
    <w:p w:rsidR="00C025DB" w:rsidRPr="00C025DB" w:rsidRDefault="00C025DB" w:rsidP="00C025DB">
      <w:pPr>
        <w:numPr>
          <w:ilvl w:val="1"/>
          <w:numId w:val="9"/>
        </w:numPr>
        <w:tabs>
          <w:tab w:val="left" w:pos="1350"/>
        </w:tabs>
        <w:spacing w:line="31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Муниципальным служащим могут быть выплачены премии за выполнение особо важных и сложных заданий и иные выплаты, предусмотренные нормативными правовыми актами органов местного самоуправления.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490"/>
        </w:tabs>
        <w:spacing w:line="31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Выплата премий осуществляется в пределах оставшихся ассигнований на оплату труда согласно нормативу, доведенного Правительством Оренбургской области.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317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Премирование муниципальных служащих может производится к юбилейным датам и праздничным дням, а также по итогам работы за квартал, полугодие и год.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456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Основанием для выплаты премии является правовой акт адми</w:t>
      </w:r>
      <w:r w:rsidR="001767A1">
        <w:rPr>
          <w:rFonts w:ascii="Times New Roman" w:hAnsi="Times New Roman" w:cs="Times New Roman"/>
          <w:sz w:val="26"/>
          <w:szCs w:val="26"/>
        </w:rPr>
        <w:t>нистрации Нойкинского сельсовета</w:t>
      </w:r>
      <w:r w:rsidRPr="00C025DB">
        <w:rPr>
          <w:rFonts w:ascii="Times New Roman" w:hAnsi="Times New Roman" w:cs="Times New Roman"/>
          <w:sz w:val="26"/>
          <w:szCs w:val="26"/>
        </w:rPr>
        <w:t xml:space="preserve"> (приказ руководителя структурного подразделения органа местного самоуправления).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245"/>
        </w:tabs>
        <w:spacing w:after="217"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Премия выплачивается с учетом фактически отработанного времени.</w:t>
      </w:r>
    </w:p>
    <w:p w:rsidR="00C025DB" w:rsidRPr="00C025DB" w:rsidRDefault="00C025DB" w:rsidP="00C025DB">
      <w:pPr>
        <w:keepNext/>
        <w:keepLines/>
        <w:numPr>
          <w:ilvl w:val="0"/>
          <w:numId w:val="9"/>
        </w:numPr>
        <w:tabs>
          <w:tab w:val="left" w:pos="828"/>
        </w:tabs>
        <w:spacing w:after="143" w:line="350" w:lineRule="exact"/>
        <w:ind w:right="440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bookmark9"/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Ежемесячная надбавка к должностному окладу за классный чин, определяемая в соответствии с порядком, утвержденным законодательством Оренбургской области</w:t>
      </w:r>
      <w:bookmarkEnd w:id="9"/>
    </w:p>
    <w:p w:rsidR="00C025DB" w:rsidRPr="00C025DB" w:rsidRDefault="00C025DB" w:rsidP="00C025DB">
      <w:pPr>
        <w:numPr>
          <w:ilvl w:val="1"/>
          <w:numId w:val="9"/>
        </w:numPr>
        <w:tabs>
          <w:tab w:val="left" w:pos="1542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Надбавка за классный чин выплачивается муниципальному служащему на основании присвоенного классного чина по результатам проведенного квалификационного экзамена.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384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Порядок проведения квалификационного экзамена муниципальных служащих устанавливается правовым актом муниципального образования и с учетом положений Закона Оренбургской области от 28.06. 2011 № 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>246/36-</w:t>
      </w:r>
      <w:r w:rsidRPr="00C025DB">
        <w:rPr>
          <w:rFonts w:ascii="Times New Roman" w:hAnsi="Times New Roman" w:cs="Times New Roman"/>
          <w:sz w:val="26"/>
          <w:szCs w:val="26"/>
          <w:lang w:val="en-US" w:eastAsia="en-US"/>
        </w:rPr>
        <w:t>V</w:t>
      </w:r>
      <w:r w:rsidRPr="00C025DB">
        <w:rPr>
          <w:rFonts w:ascii="Times New Roman" w:hAnsi="Times New Roman" w:cs="Times New Roman"/>
          <w:sz w:val="26"/>
          <w:szCs w:val="26"/>
          <w:lang w:eastAsia="en-US"/>
        </w:rPr>
        <w:t xml:space="preserve">-03 </w:t>
      </w:r>
      <w:r w:rsidRPr="00C025DB">
        <w:rPr>
          <w:rFonts w:ascii="Times New Roman" w:hAnsi="Times New Roman" w:cs="Times New Roman"/>
          <w:sz w:val="26"/>
          <w:szCs w:val="26"/>
        </w:rPr>
        <w:t>«О классных чинах муниципальных служащих в Оренбургской области, порядке их присвоения и сохранения».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389"/>
        </w:tabs>
        <w:spacing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lastRenderedPageBreak/>
        <w:t>Выплата надбавки за классный чин производится, в соответствии с правовым актом администрации района на основании решения о присвоении в установленном порядке классного чина муниципальному служащему со дня принятия казанного правового акта.</w:t>
      </w:r>
    </w:p>
    <w:p w:rsidR="00C025DB" w:rsidRPr="00C025DB" w:rsidRDefault="00C025DB" w:rsidP="00C025DB">
      <w:pPr>
        <w:numPr>
          <w:ilvl w:val="1"/>
          <w:numId w:val="9"/>
        </w:numPr>
        <w:tabs>
          <w:tab w:val="left" w:pos="1643"/>
        </w:tabs>
        <w:spacing w:after="296" w:line="322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>Размер ежемесячной надбавки к должностному окладу муниципальному служащему за классный чин устанавливается в соответствии с присвоенным ему классным чином в размерах: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3883"/>
        <w:gridCol w:w="1051"/>
        <w:gridCol w:w="989"/>
        <w:gridCol w:w="883"/>
      </w:tblGrid>
      <w:tr w:rsidR="00C025DB" w:rsidRPr="00C025DB" w:rsidTr="00593D29">
        <w:trPr>
          <w:trHeight w:hRule="exact" w:val="984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5E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руппы должностей муниципальной службы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 за классный чин, %</w:t>
            </w:r>
          </w:p>
        </w:tc>
      </w:tr>
      <w:tr w:rsidR="00C025DB" w:rsidRPr="00C025DB" w:rsidTr="00593D29">
        <w:trPr>
          <w:trHeight w:hRule="exact" w:val="658"/>
          <w:jc w:val="center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025DB" w:rsidRPr="00C025DB" w:rsidRDefault="00C025DB" w:rsidP="00C025DB">
            <w:pPr>
              <w:framePr w:w="9341" w:wrap="notBeside" w:vAnchor="text" w:hAnchor="text" w:xAlign="center" w:y="1"/>
              <w:spacing w:before="12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025DB" w:rsidRPr="00C025DB" w:rsidRDefault="00C025DB" w:rsidP="00C025DB">
            <w:pPr>
              <w:framePr w:w="9341" w:wrap="notBeside" w:vAnchor="text" w:hAnchor="text" w:xAlign="center" w:y="1"/>
              <w:spacing w:before="12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after="120" w:line="260" w:lineRule="exact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025DB" w:rsidRPr="00C025DB" w:rsidRDefault="00C025DB" w:rsidP="00C025DB">
            <w:pPr>
              <w:framePr w:w="9341" w:wrap="notBeside" w:vAnchor="text" w:hAnchor="text" w:xAlign="center" w:y="1"/>
              <w:spacing w:before="120"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C025DB" w:rsidRPr="00C025DB" w:rsidTr="00593D29">
        <w:trPr>
          <w:trHeight w:hRule="exact" w:val="64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Высшая группа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5DB" w:rsidRPr="00C025DB" w:rsidTr="00593D29"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Главная группа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5DB" w:rsidRPr="00C025DB" w:rsidTr="00593D29">
        <w:trPr>
          <w:trHeight w:hRule="exact" w:val="66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Ведущая группа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326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5DB" w:rsidRPr="00C025DB" w:rsidTr="00593D29">
        <w:trPr>
          <w:trHeight w:hRule="exact" w:val="65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after="6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C025DB" w:rsidRPr="00C025DB" w:rsidRDefault="00C025DB" w:rsidP="00C025DB">
            <w:pPr>
              <w:framePr w:w="9341" w:wrap="notBeside" w:vAnchor="text" w:hAnchor="text" w:xAlign="center" w:y="1"/>
              <w:spacing w:before="6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5DB" w:rsidRPr="00C025DB" w:rsidTr="00593D29">
        <w:trPr>
          <w:trHeight w:hRule="exact" w:val="66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after="6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C025DB" w:rsidRPr="00C025DB" w:rsidRDefault="00C025DB" w:rsidP="00C025DB">
            <w:pPr>
              <w:framePr w:w="9341" w:wrap="notBeside" w:vAnchor="text" w:hAnchor="text" w:xAlign="center" w:y="1"/>
              <w:spacing w:before="6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5DB" w:rsidRPr="00C025DB" w:rsidRDefault="00C025DB" w:rsidP="00C025DB">
            <w:pPr>
              <w:framePr w:w="9341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025DB" w:rsidRPr="00C025DB" w:rsidRDefault="00C025DB" w:rsidP="00C025DB">
      <w:pPr>
        <w:framePr w:w="9341" w:wrap="notBeside" w:vAnchor="text" w:hAnchor="text" w:xAlign="center" w:y="1"/>
        <w:spacing w:line="317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  <w:shd w:val="clear" w:color="auto" w:fill="FFFFFF"/>
        </w:rPr>
        <w:t>10.5. На ежемесячную надбавку за классный чин начисляется районный коэффициент в размере, определенном федеральным законодательством.</w:t>
      </w:r>
    </w:p>
    <w:p w:rsidR="00C025DB" w:rsidRPr="00C025DB" w:rsidRDefault="00C025DB" w:rsidP="00C025DB">
      <w:pPr>
        <w:rPr>
          <w:color w:val="auto"/>
          <w:sz w:val="2"/>
          <w:szCs w:val="2"/>
        </w:rPr>
      </w:pPr>
    </w:p>
    <w:p w:rsidR="00C025DB" w:rsidRPr="001767A1" w:rsidRDefault="00C025DB" w:rsidP="00C025DB">
      <w:pPr>
        <w:numPr>
          <w:ilvl w:val="0"/>
          <w:numId w:val="10"/>
        </w:numPr>
        <w:tabs>
          <w:tab w:val="left" w:pos="137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  <w:shd w:val="clear" w:color="auto" w:fill="FFFFFF"/>
        </w:rPr>
        <w:t>Надбавка за классный чин учитывается во всех случаях исчисления среднемесячного денежного содержания муниципального служащего.</w:t>
      </w:r>
    </w:p>
    <w:p w:rsidR="001767A1" w:rsidRDefault="001767A1" w:rsidP="001767A1">
      <w:pPr>
        <w:tabs>
          <w:tab w:val="left" w:pos="137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23F84" w:rsidRDefault="00423F84" w:rsidP="001767A1">
      <w:pPr>
        <w:tabs>
          <w:tab w:val="left" w:pos="137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23F84" w:rsidRPr="00C025DB" w:rsidRDefault="00423F84" w:rsidP="001767A1">
      <w:pPr>
        <w:tabs>
          <w:tab w:val="left" w:pos="1379"/>
        </w:tabs>
        <w:spacing w:line="317" w:lineRule="exact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025DB" w:rsidRDefault="00C025DB" w:rsidP="00C025DB">
      <w:pPr>
        <w:spacing w:after="240" w:line="322" w:lineRule="exact"/>
        <w:ind w:left="5920" w:right="440"/>
        <w:rPr>
          <w:rFonts w:ascii="Times New Roman" w:hAnsi="Times New Roman" w:cs="Times New Roman"/>
          <w:sz w:val="26"/>
          <w:szCs w:val="26"/>
        </w:rPr>
      </w:pPr>
      <w:r w:rsidRPr="00C025DB">
        <w:rPr>
          <w:rFonts w:ascii="Times New Roman" w:hAnsi="Times New Roman" w:cs="Times New Roman"/>
          <w:sz w:val="26"/>
          <w:szCs w:val="26"/>
        </w:rPr>
        <w:t xml:space="preserve">Приложение 1 к Положению о денежном содержании лиц, замещающих муниципальные должности в муниципальном образовании </w:t>
      </w:r>
      <w:r w:rsidRPr="00C025DB">
        <w:rPr>
          <w:rFonts w:ascii="Times New Roman" w:hAnsi="Times New Roman" w:cs="Times New Roman"/>
          <w:sz w:val="26"/>
          <w:szCs w:val="26"/>
        </w:rPr>
        <w:lastRenderedPageBreak/>
        <w:t>Бугурусланский район</w:t>
      </w:r>
    </w:p>
    <w:p w:rsidR="00423F84" w:rsidRPr="00C025DB" w:rsidRDefault="00423F84" w:rsidP="00C025DB">
      <w:pPr>
        <w:spacing w:after="240" w:line="322" w:lineRule="exact"/>
        <w:ind w:left="5920" w:right="440"/>
        <w:rPr>
          <w:rFonts w:ascii="Times New Roman" w:hAnsi="Times New Roman" w:cs="Times New Roman"/>
          <w:color w:val="auto"/>
          <w:sz w:val="26"/>
          <w:szCs w:val="26"/>
        </w:rPr>
      </w:pPr>
    </w:p>
    <w:p w:rsidR="00C025DB" w:rsidRPr="00C025DB" w:rsidRDefault="00C025DB" w:rsidP="00C025DB">
      <w:pPr>
        <w:spacing w:line="322" w:lineRule="exact"/>
        <w:ind w:left="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Размеры</w:t>
      </w:r>
    </w:p>
    <w:p w:rsidR="00C025DB" w:rsidRDefault="00C025DB" w:rsidP="00C025DB">
      <w:pPr>
        <w:spacing w:after="536" w:line="322" w:lineRule="exact"/>
        <w:ind w:left="560" w:right="60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025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должностных окладов муниципальных служащих в органах местного самоуправления муниципального </w:t>
      </w:r>
      <w:r w:rsidR="00713EE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образования </w:t>
      </w:r>
      <w:proofErr w:type="spellStart"/>
      <w:r w:rsidR="00713EE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Нойкинский</w:t>
      </w:r>
      <w:proofErr w:type="spellEnd"/>
      <w:r w:rsidR="00713EE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сельсовет</w:t>
      </w:r>
    </w:p>
    <w:p w:rsidR="00713EE8" w:rsidRPr="00C025DB" w:rsidRDefault="000E35EF" w:rsidP="00C025DB">
      <w:pPr>
        <w:spacing w:after="536" w:line="322" w:lineRule="exact"/>
        <w:ind w:left="560" w:right="60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C025DB" w:rsidRPr="00C025DB" w:rsidRDefault="00C025DB" w:rsidP="00C025DB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456"/>
        <w:gridCol w:w="1133"/>
        <w:gridCol w:w="1219"/>
        <w:gridCol w:w="1046"/>
        <w:gridCol w:w="907"/>
        <w:gridCol w:w="1099"/>
      </w:tblGrid>
      <w:tr w:rsidR="00713EE8" w:rsidRPr="00C025DB" w:rsidTr="00713EE8">
        <w:trPr>
          <w:trHeight w:hRule="exact" w:val="8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after="60"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</w:t>
            </w:r>
          </w:p>
          <w:p w:rsidR="00713EE8" w:rsidRPr="00C025DB" w:rsidRDefault="00713EE8" w:rsidP="00713EE8">
            <w:pPr>
              <w:spacing w:before="60"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326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(тыс. человек) / должностной оклад (руб.)</w:t>
            </w:r>
          </w:p>
        </w:tc>
      </w:tr>
      <w:tr w:rsidR="00713EE8" w:rsidRPr="00C025DB" w:rsidTr="00713EE8">
        <w:trPr>
          <w:trHeight w:hRule="exact" w:val="859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до 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0,5-1,5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1,5-2,5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2,5-5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:rsidR="00713EE8" w:rsidRPr="00C025DB" w:rsidRDefault="00713EE8" w:rsidP="00713EE8">
            <w:pPr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3EE8" w:rsidRPr="00C025DB" w:rsidTr="00713EE8">
        <w:trPr>
          <w:trHeight w:hRule="exact" w:val="15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31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Microsoft Sans Serif" w:hAnsi="Microsoft Sans Serif" w:cs="Microsoft Sans Serif"/>
                <w:noProof/>
                <w:sz w:val="25"/>
                <w:szCs w:val="25"/>
                <w:shd w:val="clear" w:color="auto" w:fill="FFFFFF"/>
              </w:rPr>
              <w:t>1</w:t>
            </w:r>
            <w:r w:rsidRPr="00C025DB">
              <w:rPr>
                <w:rFonts w:ascii="MS Gothic" w:eastAsia="MS Gothic" w:hAnsi="Times New Roman" w:cs="MS Gothic"/>
                <w:noProof/>
                <w:sz w:val="31"/>
                <w:szCs w:val="31"/>
                <w:shd w:val="clear" w:color="auto" w:fill="FFFFFF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сельского поселения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9059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10063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12075</w:t>
            </w:r>
          </w:p>
        </w:tc>
      </w:tr>
      <w:tr w:rsidR="00713EE8" w:rsidRPr="00C025DB" w:rsidTr="00713EE8">
        <w:trPr>
          <w:trHeight w:hRule="exact" w:val="5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8049</w:t>
            </w:r>
          </w:p>
        </w:tc>
      </w:tr>
      <w:tr w:rsidR="00713EE8" w:rsidRPr="00C025DB" w:rsidTr="00713EE8">
        <w:trPr>
          <w:trHeight w:hRule="exact"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7043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8049</w:t>
            </w:r>
          </w:p>
        </w:tc>
      </w:tr>
      <w:tr w:rsidR="00713EE8" w:rsidRPr="00C025DB" w:rsidTr="00713EE8">
        <w:trPr>
          <w:trHeight w:hRule="exact"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5030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5030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5030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</w:tr>
      <w:tr w:rsidR="00713EE8" w:rsidRPr="00C025DB" w:rsidTr="00713EE8">
        <w:trPr>
          <w:trHeight w:hRule="exact" w:val="24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Глава населенного пункта, за исключением относящихся к должностным лицам территориального общественного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E8" w:rsidRPr="00C025DB" w:rsidRDefault="00713EE8" w:rsidP="00713EE8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25DB">
              <w:rPr>
                <w:rFonts w:ascii="Times New Roman" w:hAnsi="Times New Roman" w:cs="Times New Roman"/>
                <w:sz w:val="26"/>
                <w:szCs w:val="26"/>
              </w:rPr>
              <w:t>6038</w:t>
            </w:r>
          </w:p>
        </w:tc>
      </w:tr>
    </w:tbl>
    <w:p w:rsidR="00C025DB" w:rsidRPr="00C025DB" w:rsidRDefault="00C025DB" w:rsidP="00C025DB">
      <w:pPr>
        <w:rPr>
          <w:color w:val="auto"/>
          <w:sz w:val="2"/>
          <w:szCs w:val="2"/>
        </w:rPr>
      </w:pPr>
    </w:p>
    <w:p w:rsidR="00C025DB" w:rsidRPr="00C025DB" w:rsidRDefault="00C025DB" w:rsidP="00C025DB">
      <w:pPr>
        <w:rPr>
          <w:color w:val="auto"/>
          <w:sz w:val="2"/>
          <w:szCs w:val="2"/>
        </w:rPr>
        <w:sectPr w:rsidR="00C025DB" w:rsidRPr="00C025DB">
          <w:type w:val="continuous"/>
          <w:pgSz w:w="11909" w:h="16838"/>
          <w:pgMar w:top="2505" w:right="1224" w:bottom="2476" w:left="1200" w:header="0" w:footer="3" w:gutter="0"/>
          <w:cols w:space="720"/>
          <w:noEndnote/>
          <w:docGrid w:linePitch="360"/>
        </w:sectPr>
      </w:pPr>
    </w:p>
    <w:p w:rsidR="00C025DB" w:rsidRPr="00C025DB" w:rsidRDefault="001767A1" w:rsidP="001767A1">
      <w:pPr>
        <w:spacing w:after="304" w:line="322" w:lineRule="exact"/>
        <w:ind w:left="5680" w:right="240"/>
        <w:rPr>
          <w:color w:val="auto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</w:p>
    <w:p w:rsidR="00C025DB" w:rsidRDefault="00C025DB"/>
    <w:sectPr w:rsidR="00C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00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65"/>
    <w:rsid w:val="000E35EF"/>
    <w:rsid w:val="001767A1"/>
    <w:rsid w:val="00423F84"/>
    <w:rsid w:val="00713EE8"/>
    <w:rsid w:val="007E3BB2"/>
    <w:rsid w:val="008E162B"/>
    <w:rsid w:val="00C025DB"/>
    <w:rsid w:val="00C661C5"/>
    <w:rsid w:val="00C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D075-B536-4A14-8A16-9871AC4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B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E3B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E3BB2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E3BB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aliases w:val="Интервал 1 pt"/>
    <w:basedOn w:val="1"/>
    <w:uiPriority w:val="99"/>
    <w:rsid w:val="007E3BB2"/>
    <w:rPr>
      <w:rFonts w:ascii="Times New Roman" w:hAnsi="Times New Roman" w:cs="Times New Roman"/>
      <w:i/>
      <w:iCs/>
      <w:spacing w:val="30"/>
      <w:sz w:val="27"/>
      <w:szCs w:val="27"/>
      <w:u w:val="single"/>
      <w:shd w:val="clear" w:color="auto" w:fill="FFFFFF"/>
    </w:rPr>
  </w:style>
  <w:style w:type="character" w:styleId="a6">
    <w:name w:val="Strong"/>
    <w:qFormat/>
    <w:rsid w:val="007E3B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6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62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2020-12-28T05:52:00Z</cp:lastPrinted>
  <dcterms:created xsi:type="dcterms:W3CDTF">2020-12-09T07:33:00Z</dcterms:created>
  <dcterms:modified xsi:type="dcterms:W3CDTF">2020-12-28T05:52:00Z</dcterms:modified>
</cp:coreProperties>
</file>